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Questrial" w:cs="Questrial" w:eastAsia="Questrial" w:hAnsi="Questrial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K-5 Uniform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Uniforms for Girls: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White or navy collared shirt with short or long sleeves, NO white t-shirts.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Navy blue pants, shorts, skirt, jumper, skort or uniform navy blue dress. Leggings MUST be navy or white and cannot be worn without a skirt or dress.  Blue jeans and athletic shorts are NOT permitted.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Tights or/ long sleeve shirts worn under clothes MUST be white or navy.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Jackets, sweaters, sweatshirts, etc. that are kept on during the school day MUST be white, navy or grey with limited writing or embellishments.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*On days girls have gym class, pants or shorts are preferred.*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Uniforms for Boys: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White or navy collared shirt with long or short sleeves, NO white t-shirts.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Navy blue pants or shorts. Blue jeans and athletic shorts are NOT permitted.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Long sleeve shirts worn under the uniform shirt MUST be white or navy.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Jackets, sweaters, sweatshirts, etc. that are kept on during the school day MUST be white, navy or grey with limited writing or embellishments.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Boys and Girls:     </w:t>
        <w:tab/>
        <w:tab/>
        <w:t xml:space="preserve">        </w:t>
        <w:tab/>
        <w:t xml:space="preserve">  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Any colored sneakers or closed toe shoes (no blinking lights or Heelys), but no boots or sandals.   Unnatural hair color and makeup is not permitted.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Zapatilla o zapatos cerrados de cualquier color (sin luces o ruedas), pero no se permiten botas o sandalias. Está prohibido pintarse el cabello con colores brillantes.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